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43" w:rsidRPr="004D71B3" w:rsidRDefault="00587D43" w:rsidP="00587D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71B3">
        <w:rPr>
          <w:rFonts w:ascii="Times New Roman" w:hAnsi="Times New Roman"/>
          <w:b/>
          <w:sz w:val="24"/>
          <w:szCs w:val="24"/>
        </w:rPr>
        <w:t xml:space="preserve">Стратегия за водено от общностите местно развитие на територията на </w:t>
      </w:r>
      <w:r w:rsidR="00897458" w:rsidRPr="004D71B3">
        <w:rPr>
          <w:rFonts w:ascii="Times New Roman" w:hAnsi="Times New Roman"/>
          <w:b/>
          <w:sz w:val="24"/>
          <w:szCs w:val="24"/>
        </w:rPr>
        <w:t xml:space="preserve">Местна инициативна група </w:t>
      </w:r>
      <w:r w:rsidR="00301D66" w:rsidRPr="004D71B3">
        <w:rPr>
          <w:rFonts w:ascii="Times New Roman" w:hAnsi="Times New Roman"/>
          <w:b/>
          <w:sz w:val="24"/>
          <w:szCs w:val="24"/>
        </w:rPr>
        <w:t>„</w:t>
      </w:r>
      <w:r w:rsidR="00F7374F" w:rsidRPr="004D71B3">
        <w:rPr>
          <w:rFonts w:ascii="Times New Roman" w:hAnsi="Times New Roman"/>
          <w:b/>
          <w:sz w:val="24"/>
          <w:szCs w:val="24"/>
        </w:rPr>
        <w:t>Ябланица-Правец</w:t>
      </w:r>
      <w:r w:rsidR="008D44A8" w:rsidRPr="004D71B3">
        <w:rPr>
          <w:rFonts w:ascii="Times New Roman" w:hAnsi="Times New Roman"/>
          <w:b/>
          <w:sz w:val="24"/>
          <w:szCs w:val="24"/>
        </w:rPr>
        <w:t>“</w:t>
      </w:r>
      <w:r w:rsidRPr="004D71B3">
        <w:rPr>
          <w:rFonts w:ascii="Times New Roman" w:hAnsi="Times New Roman"/>
          <w:b/>
          <w:sz w:val="24"/>
          <w:szCs w:val="24"/>
        </w:rPr>
        <w:t xml:space="preserve"> </w:t>
      </w:r>
      <w:r w:rsidR="00D4724E" w:rsidRPr="004D71B3">
        <w:rPr>
          <w:rFonts w:ascii="Times New Roman" w:hAnsi="Times New Roman"/>
          <w:b/>
          <w:sz w:val="24"/>
          <w:szCs w:val="24"/>
        </w:rPr>
        <w:t>до</w:t>
      </w:r>
      <w:r w:rsidRPr="004D71B3">
        <w:rPr>
          <w:rFonts w:ascii="Times New Roman" w:hAnsi="Times New Roman"/>
          <w:b/>
          <w:sz w:val="24"/>
          <w:szCs w:val="24"/>
        </w:rPr>
        <w:t xml:space="preserve"> 2027 г. </w:t>
      </w:r>
    </w:p>
    <w:p w:rsidR="00587D43" w:rsidRPr="00932338" w:rsidRDefault="00587D43" w:rsidP="00587D4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B558C" w:rsidRPr="0004047F" w:rsidRDefault="004D71B3" w:rsidP="00E77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4D71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Днес, </w:t>
      </w:r>
      <w:r w:rsidRPr="004D71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bg-BG"/>
        </w:rPr>
        <w:t>02</w:t>
      </w:r>
      <w:r w:rsidRPr="004D71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.1</w:t>
      </w:r>
      <w:r w:rsidRPr="004D71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bg-BG"/>
        </w:rPr>
        <w:t>1</w:t>
      </w:r>
      <w:r w:rsidRPr="004D71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.2023 г., в изпълнение на чл.8, ал.4 от Наредбата за условията и реда за извършване на екологична оценка (Наредбата за ЕО), във връзка с постъпило в Министерство на околната среда и водите (МОСВ) уведомление по чл.8, ал. 1 от Наредбата за ЕО за Стратегия за водено от общностите местно развитие на Местна инициативна група „Ябланица-Правец“ до 2027 г., с възложител Сдружение с нестопанска цел „Местна инициативна група Ябланица-Правец до 2027 г.“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, </w:t>
      </w:r>
      <w:r w:rsidRPr="004D71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Министерство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то</w:t>
      </w:r>
      <w:r w:rsidRPr="004D71B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на околната среда и водите (МОСВ) информира за следното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>:</w:t>
      </w:r>
    </w:p>
    <w:p w:rsidR="001B558C" w:rsidRDefault="00DA6504" w:rsidP="001B5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4A4C4D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Pr="004A4C4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. По отношение на изискванията на глава VІ на Закона за опазване на околната среда (ЗООС):</w:t>
      </w:r>
    </w:p>
    <w:p w:rsidR="001B558C" w:rsidRDefault="00165323" w:rsidP="001B5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 w:rsidRPr="001B558C">
        <w:rPr>
          <w:rFonts w:ascii="Times New Roman" w:hAnsi="Times New Roman" w:cs="Times New Roman"/>
          <w:sz w:val="24"/>
          <w:szCs w:val="24"/>
        </w:rPr>
        <w:t>Съ</w:t>
      </w:r>
      <w:r w:rsidR="001914FB" w:rsidRPr="001B558C">
        <w:rPr>
          <w:rFonts w:ascii="Times New Roman" w:hAnsi="Times New Roman" w:cs="Times New Roman"/>
          <w:sz w:val="24"/>
          <w:szCs w:val="24"/>
        </w:rPr>
        <w:t>гласно представената информация</w:t>
      </w:r>
      <w:r w:rsidRPr="001B558C">
        <w:rPr>
          <w:rFonts w:ascii="Times New Roman" w:hAnsi="Times New Roman" w:cs="Times New Roman"/>
          <w:sz w:val="24"/>
          <w:szCs w:val="24"/>
        </w:rPr>
        <w:t xml:space="preserve"> Стратегията за водено от общностите местно развитие (ВОМР) на територията на Местна инициативна група (МИГ) </w:t>
      </w:r>
      <w:r w:rsidR="0004047F" w:rsidRPr="001B558C">
        <w:rPr>
          <w:rFonts w:ascii="Times New Roman" w:hAnsi="Times New Roman" w:cs="Times New Roman"/>
          <w:sz w:val="24"/>
          <w:szCs w:val="24"/>
        </w:rPr>
        <w:t xml:space="preserve">„Ябланица-Правец“ </w:t>
      </w:r>
      <w:r w:rsidR="003A025A" w:rsidRPr="001B558C">
        <w:rPr>
          <w:rFonts w:ascii="Times New Roman" w:hAnsi="Times New Roman" w:cs="Times New Roman"/>
          <w:sz w:val="24"/>
          <w:szCs w:val="24"/>
        </w:rPr>
        <w:t xml:space="preserve">е изготвена </w:t>
      </w:r>
      <w:r w:rsidR="00B43B0E" w:rsidRPr="001B558C">
        <w:rPr>
          <w:rFonts w:ascii="Times New Roman" w:hAnsi="Times New Roman" w:cs="Times New Roman"/>
          <w:sz w:val="24"/>
          <w:szCs w:val="24"/>
        </w:rPr>
        <w:t xml:space="preserve">на основание Регламент (ЕС) № 2021/1060, Регламент (ЕС) № 2021/2115, Стратегически план за развитие на земеделието и селските райони (СПРЗСР) и в изпълнение на проект по процедура BG06RDNP001-19.610 „Процедура чрез подбор на проектни предложения по </w:t>
      </w:r>
      <w:proofErr w:type="spellStart"/>
      <w:r w:rsidR="00B43B0E" w:rsidRPr="001B558C">
        <w:rPr>
          <w:rFonts w:ascii="Times New Roman" w:hAnsi="Times New Roman" w:cs="Times New Roman"/>
          <w:sz w:val="24"/>
          <w:szCs w:val="24"/>
        </w:rPr>
        <w:t>Подмярка</w:t>
      </w:r>
      <w:proofErr w:type="spellEnd"/>
      <w:r w:rsidR="00B43B0E" w:rsidRPr="001B558C">
        <w:rPr>
          <w:rFonts w:ascii="Times New Roman" w:hAnsi="Times New Roman" w:cs="Times New Roman"/>
          <w:sz w:val="24"/>
          <w:szCs w:val="24"/>
        </w:rPr>
        <w:t xml:space="preserve"> 19.1 „Помощ за подготвителни дейности“ на мярка 19 „Водено от общностите местно развитие“ от Програмата за развитие на селските райони за периода 2014 - 2020 г.</w:t>
      </w:r>
    </w:p>
    <w:p w:rsidR="008B75BE" w:rsidRDefault="00B43B0E" w:rsidP="001B55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1B5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Стратегията включва териториите на </w:t>
      </w:r>
      <w:r w:rsidR="0032743B" w:rsidRPr="001B558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Ябланица и община Правец и</w:t>
      </w:r>
      <w:r w:rsidRPr="001B558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има</w:t>
      </w:r>
      <w:r w:rsidRPr="00B43B0E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за цел да допринесе за преодоляването на местните нужди и проблеми на населението в обхванатата в състава на МИГ територия и да удовлетвори техните потребности и потенциал за развитие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. </w:t>
      </w:r>
      <w:r w:rsidR="004A4C4D" w:rsidRPr="00D531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Съгласно представената информация основната цел на стратегията за Воден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о от общностите местно развитие</w:t>
      </w:r>
      <w:r w:rsidR="004A4C4D" w:rsidRPr="00D531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е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:</w:t>
      </w:r>
      <w:r w:rsidR="004A4C4D" w:rsidRPr="00D531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„Територията на местна инициативна група</w:t>
      </w:r>
      <w:r w:rsidR="004A4C4D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Ябланица-Правец – привлекателно място за живот, бизнес, осигуряваща равни възможности за всички“</w:t>
      </w:r>
      <w:r w:rsidR="004A4C4D" w:rsidRPr="00D531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.</w:t>
      </w:r>
    </w:p>
    <w:p w:rsidR="004A4C4D" w:rsidRPr="001B558C" w:rsidRDefault="00A656EA" w:rsidP="001B5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Стратегическите цели са следните</w:t>
      </w:r>
      <w:r w:rsidR="004A4C4D" w:rsidRPr="00D531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: </w:t>
      </w:r>
    </w:p>
    <w:p w:rsidR="004A4C4D" w:rsidRDefault="004A4C4D" w:rsidP="001B558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- Цел 1: Подкрепа за развитие на местната икономика; </w:t>
      </w:r>
    </w:p>
    <w:p w:rsidR="004A4C4D" w:rsidRDefault="004A4C4D" w:rsidP="00B43B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</w:pPr>
      <w:r w:rsidRPr="00D5310A"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-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 xml:space="preserve"> Цел 2: Създаване на равни възможности за изява на всички жители;</w:t>
      </w:r>
    </w:p>
    <w:p w:rsidR="004A4C4D" w:rsidRDefault="004A4C4D" w:rsidP="00B43B0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32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bdr w:val="none" w:sz="0" w:space="0" w:color="auto" w:frame="1"/>
          <w:lang w:eastAsia="bg-BG"/>
        </w:rPr>
        <w:t>- Цел 3: Подкрепа за развитие на инфраструктурата и физическата среда</w:t>
      </w:r>
    </w:p>
    <w:p w:rsidR="00CA3ADC" w:rsidRDefault="004A4C4D" w:rsidP="007B1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/>
          <w:kern w:val="32"/>
          <w:sz w:val="24"/>
          <w:szCs w:val="24"/>
          <w:lang w:eastAsia="bg-BG"/>
        </w:rPr>
        <w:t>За изпълнение на</w:t>
      </w:r>
      <w:r w:rsidR="008B75BE">
        <w:rPr>
          <w:rFonts w:ascii="Times New Roman" w:eastAsia="Calibri" w:hAnsi="Times New Roman"/>
          <w:kern w:val="32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/>
          <w:kern w:val="32"/>
          <w:sz w:val="24"/>
          <w:szCs w:val="24"/>
          <w:lang w:eastAsia="bg-BG"/>
        </w:rPr>
        <w:t>ц</w:t>
      </w:r>
      <w:r w:rsidR="007606F4">
        <w:rPr>
          <w:rFonts w:ascii="Times New Roman" w:eastAsia="Calibri" w:hAnsi="Times New Roman"/>
          <w:kern w:val="32"/>
          <w:sz w:val="24"/>
          <w:szCs w:val="24"/>
          <w:lang w:eastAsia="bg-BG"/>
        </w:rPr>
        <w:t>елите в стратегията са включени</w:t>
      </w:r>
      <w:r w:rsidR="00A656EA">
        <w:rPr>
          <w:rFonts w:ascii="Times New Roman" w:eastAsia="Calibri" w:hAnsi="Times New Roman"/>
          <w:kern w:val="32"/>
          <w:sz w:val="24"/>
          <w:szCs w:val="24"/>
          <w:lang w:eastAsia="bg-BG"/>
        </w:rPr>
        <w:t xml:space="preserve"> и</w:t>
      </w:r>
      <w:r w:rsidR="007606F4">
        <w:rPr>
          <w:rFonts w:ascii="Times New Roman" w:eastAsia="Calibri" w:hAnsi="Times New Roman"/>
          <w:kern w:val="32"/>
          <w:sz w:val="24"/>
          <w:szCs w:val="24"/>
          <w:lang w:eastAsia="bg-BG"/>
        </w:rPr>
        <w:t xml:space="preserve"> </w:t>
      </w:r>
      <w:r w:rsidR="008B75BE">
        <w:rPr>
          <w:rFonts w:ascii="Times New Roman" w:eastAsia="Calibri" w:hAnsi="Times New Roman"/>
          <w:kern w:val="32"/>
          <w:sz w:val="24"/>
          <w:szCs w:val="24"/>
          <w:lang w:eastAsia="bg-BG"/>
        </w:rPr>
        <w:t xml:space="preserve">редица </w:t>
      </w:r>
      <w:r w:rsidR="00CA3ADC">
        <w:rPr>
          <w:rFonts w:ascii="Times New Roman" w:eastAsia="Calibri" w:hAnsi="Times New Roman"/>
          <w:kern w:val="32"/>
          <w:sz w:val="24"/>
          <w:szCs w:val="24"/>
          <w:lang w:eastAsia="bg-BG"/>
        </w:rPr>
        <w:t>мерки</w:t>
      </w:r>
      <w:r w:rsidR="008B75BE">
        <w:rPr>
          <w:rFonts w:ascii="Times New Roman" w:eastAsia="Calibri" w:hAnsi="Times New Roman"/>
          <w:kern w:val="32"/>
          <w:sz w:val="24"/>
          <w:szCs w:val="24"/>
          <w:lang w:eastAsia="bg-BG"/>
        </w:rPr>
        <w:t>.</w:t>
      </w:r>
    </w:p>
    <w:p w:rsidR="001B1B37" w:rsidRPr="00DE118C" w:rsidRDefault="001B1B37" w:rsidP="001B1B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12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Органът, </w:t>
      </w:r>
      <w:r w:rsidR="00322BEB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одобряващ</w:t>
      </w:r>
      <w:r w:rsidRPr="003412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Стратегията е Общото събрание на Сдружение МИГ „Ябланица-Правец“.</w:t>
      </w:r>
    </w:p>
    <w:p w:rsidR="005279BB" w:rsidRPr="00DE118C" w:rsidRDefault="008B75BE" w:rsidP="00527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BA00E8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тратегията</w:t>
      </w:r>
      <w:r w:rsidRPr="002936F0">
        <w:t xml:space="preserve"> </w:t>
      </w:r>
      <w:r w:rsidR="001B1B37" w:rsidRPr="00686F4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засяга области в обхвата на чл. 85, ал.1 от ЗООС и очертава рамка на бъдещо развитие на инвестиционни предлож</w:t>
      </w:r>
      <w:r w:rsidR="00322B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ения по Приложение № 2 на ЗООС и </w:t>
      </w:r>
      <w:r w:rsidR="001B1B37" w:rsidRPr="00686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чл.2, ал.2, т. </w:t>
      </w:r>
      <w:r w:rsidR="001B1B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1B1B37" w:rsidRPr="00686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за ЕО подлежи на процедура по преценяване на необходимостта от извършване на екологична оценка.</w:t>
      </w:r>
    </w:p>
    <w:p w:rsidR="00951DB3" w:rsidRDefault="005279BB" w:rsidP="007B10F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  <w:r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това</w:t>
      </w:r>
      <w:r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Стратегията попада на територията на две Регионални инспекции по околна среда и води (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РИОСВ - </w:t>
      </w:r>
      <w:r w:rsidR="00DE118C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РИОСВ - </w:t>
      </w:r>
      <w:r w:rsidR="00DE118C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>Плевен</w:t>
      </w:r>
      <w:r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</w:t>
      </w:r>
      <w:r w:rsidR="00DE118C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>10, ал.</w:t>
      </w:r>
      <w:r w:rsidR="00DE118C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>2, т.</w:t>
      </w:r>
      <w:r w:rsidR="00DE118C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от ЗООС, </w:t>
      </w:r>
      <w:r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компетентен орган по процедурата по 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екологична оценка </w:t>
      </w:r>
      <w:r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>е министърът на околната среда и водите</w:t>
      </w:r>
      <w:r w:rsidR="007B10F4" w:rsidRPr="00DE1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DA6504" w:rsidRPr="004A4C4D" w:rsidRDefault="00DA6504" w:rsidP="007B10F4">
      <w:pPr>
        <w:spacing w:after="0" w:line="240" w:lineRule="auto"/>
        <w:ind w:firstLine="3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C4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4A4C4D">
        <w:rPr>
          <w:rFonts w:ascii="Times New Roman" w:eastAsia="Times New Roman" w:hAnsi="Times New Roman" w:cs="Times New Roman"/>
          <w:b/>
          <w:sz w:val="24"/>
          <w:szCs w:val="24"/>
        </w:rPr>
        <w:t xml:space="preserve">І. По отношение на изискванията на чл. 31 от </w:t>
      </w:r>
      <w:r w:rsidR="007B10F4" w:rsidRPr="004A4C4D">
        <w:rPr>
          <w:rFonts w:ascii="Times New Roman" w:eastAsia="Times New Roman" w:hAnsi="Times New Roman" w:cs="Times New Roman"/>
          <w:b/>
          <w:sz w:val="24"/>
          <w:szCs w:val="24"/>
        </w:rPr>
        <w:t>ЗБР</w:t>
      </w:r>
      <w:r w:rsidRPr="004A4C4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A00E8" w:rsidRDefault="00BA00E8" w:rsidP="004A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BA00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редвид разпоредбата на чл. 31, ал.1 от ЗБР и чл. 2, ал. 1, т. 1 от Наредбата за ОС </w:t>
      </w:r>
      <w:r w:rsidR="002936F0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BA00E8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тратегията</w:t>
      </w:r>
      <w:r w:rsidR="002936F0" w:rsidRPr="002936F0">
        <w:t xml:space="preserve"> </w:t>
      </w:r>
      <w:r w:rsidR="002936F0" w:rsidRPr="002936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ВОМР на МИГ </w:t>
      </w:r>
      <w:r w:rsidR="002936F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2936F0" w:rsidRPr="002936F0">
        <w:rPr>
          <w:rFonts w:ascii="Times New Roman" w:eastAsia="Times New Roman" w:hAnsi="Times New Roman" w:cs="Times New Roman"/>
          <w:sz w:val="24"/>
          <w:szCs w:val="24"/>
          <w:lang w:eastAsia="bg-BG"/>
        </w:rPr>
        <w:t>Ябланица-Правец</w:t>
      </w:r>
      <w:r w:rsidR="002936F0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2936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00E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подлежи и на процедура по оценка за съвместимостта му с предмета и целите на опазване на горецитираните защитени зони, като процедурата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ОС </w:t>
      </w:r>
      <w:r w:rsidRPr="00BA00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извършва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процедурата по ЕО,</w:t>
      </w:r>
      <w:r w:rsidRPr="00BA00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чл. 31, ал. 4 от ЗБР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A4C4D" w:rsidRPr="004A4C4D" w:rsidRDefault="004A4C4D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lastRenderedPageBreak/>
        <w:t xml:space="preserve">Територията на МИГ </w:t>
      </w:r>
      <w:r w:rsidR="002936F0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„</w:t>
      </w:r>
      <w:r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Ябланица-Правец</w:t>
      </w:r>
      <w:r w:rsidR="002936F0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“</w:t>
      </w:r>
      <w:r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 обхваща административните граници на общините Ябланица и Правец.</w:t>
      </w:r>
    </w:p>
    <w:p w:rsidR="004A4C4D" w:rsidRPr="004A4C4D" w:rsidRDefault="004A4C4D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На територията на двете общини изцяло или частично попадат следните категории защитени територии по смисъла на Закона за защитените територии (ЗЗТ) и защитени зони (ЗЗ) по смисъла на Закона за би</w:t>
      </w:r>
      <w:r w:rsidR="004D71B3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ологичното разнообразие (ЗБР): 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-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Защитена местност „Драгоица“ - обявена за историческо място със Заповед № 2122/21.01.1964 г. на КГГП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., ДВ, бр.6/1964 г.) и 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прекатегоризирана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 в защитена местност със Заповед № РД-724/10.06.2003 г. на МОСВ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ДВ, бр.60/2003 г.);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-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Защитена местност „Висока Могила” - обявена за буферна зона на поддържан резерват „Училищна гора” със Заповед № 730/30.07.1986г на КОПС при МС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., ДВ, бр.77/1980 г.). 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Прекатегоризирана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 в защитена местност със Заповед № РД-504/12.07.2007 г. на МОСВ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ДВ, бр.72/4.09.2007 г.);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-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Природна забележителност „Пещерата 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Съева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 дупка” – обявен със Заповед № 2810/ 10.10.1962 г. на ГУГ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ДВ, бр.56/1963 г.);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-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Природна забележителност „Скално образувание Котлите” - обявена със Заповед № 1187/19.04.1976 г. на МГОПС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ДВ, бр.44/1976 г.);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-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Природна забележителност „Карстов извор „Златна 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панега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” – обявен със Заповед № 3384/08.12.1966 г. на МГГП 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(ДВ, бр.19/1967 г.).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-</w:t>
      </w:r>
      <w:r w:rsidR="008814D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Защитена зона BG0001014 „Карлуково“ за опазване на природните местообитания и на дивата флора и фауна, обявена със Заповед № РД-329/31.03.2021г. на министъра на околната среда и водите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ДВ, бр. 53/25.06.2021 г.);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-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Защитена зона BG0001036 „Български извор“ за опазване на природните местообитания и на дивата флора и фауна, обявена със Заповед № РД-306/31.03.2021г. на министъра на околната среда и водите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ДВ, бр. 49/11.06.2021 г.);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-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Защитена зона BG0000374 „Бебреш“ за опазване на природните местообитания и на дивата флора и фауна, обявена със Заповед № РД-1048/17.12.2020 г. на министъра на околната среда и водите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ДВ, бр. 21/12.03.2021 г.);</w:t>
      </w:r>
    </w:p>
    <w:p w:rsidR="004A4C4D" w:rsidRPr="004A4C4D" w:rsidRDefault="00BA00E8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- </w:t>
      </w:r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Защитена зона BG0002109 „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Васильовска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 планина“ за опазване на дивите птици, обявена със Заповед № РД-529/26.05.2010 г. на министъра на околната среда и водите (</w:t>
      </w:r>
      <w:proofErr w:type="spellStart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обн</w:t>
      </w:r>
      <w:proofErr w:type="spellEnd"/>
      <w:r w:rsidR="004A4C4D"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., ДВ, бр. 48/25.06.2010 г.).</w:t>
      </w:r>
    </w:p>
    <w:p w:rsidR="004A4C4D" w:rsidRPr="004A4C4D" w:rsidRDefault="004A4C4D" w:rsidP="004A4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</w:pPr>
      <w:r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>Предви</w:t>
      </w:r>
      <w:r w:rsidR="002936F0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д обстоятелството, че Стратегията </w:t>
      </w:r>
      <w:r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касае всички гореописани защитени територии и защитени зони, извършената проверка за допустимост по смисъла на чл. 37, ал. 2 от Наредбата за ОС показа, че същата </w:t>
      </w:r>
      <w:r w:rsidRPr="0032743B">
        <w:rPr>
          <w:rFonts w:ascii="Times New Roman" w:eastAsia="Calibri" w:hAnsi="Times New Roman" w:cs="Times New Roman"/>
          <w:b/>
          <w:kern w:val="32"/>
          <w:sz w:val="24"/>
          <w:szCs w:val="24"/>
          <w:lang w:eastAsia="bg-BG"/>
        </w:rPr>
        <w:t>е допустима</w:t>
      </w:r>
      <w:r w:rsidRPr="004A4C4D">
        <w:rPr>
          <w:rFonts w:ascii="Times New Roman" w:eastAsia="Calibri" w:hAnsi="Times New Roman" w:cs="Times New Roman"/>
          <w:kern w:val="32"/>
          <w:sz w:val="24"/>
          <w:szCs w:val="24"/>
          <w:lang w:eastAsia="bg-BG"/>
        </w:rPr>
        <w:t xml:space="preserve"> при условие, че произтичащите от нея планове, програми, проекти и инвестиционни предложения се съобразяват с режимите на защитените територии, определени със ЗЗТ и заповедите за обявяването им, както и с режимите на защитените зони, определени със заповедите за обявяването им.</w:t>
      </w:r>
    </w:p>
    <w:p w:rsidR="004A4C4D" w:rsidRDefault="004A4C4D" w:rsidP="001B1B3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</w:pPr>
      <w:r w:rsidRPr="004A4C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След преглед на представената информация, на основание чл. 37, ал. 3 от Наредбата за ОС и въз основа на критериите по чл. 16 от нея, е извършена преценка за вероятната степен на отрицателно въздействие, според която проектът на Стратегия за водено от общностите местно развитие (ВОМР) на „Местна инициативна група (МИГ) Ябланица-Правец“ до 2027 г. </w:t>
      </w:r>
      <w:r w:rsidRPr="0032743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bg-BG"/>
        </w:rPr>
        <w:t>няма вероятност</w:t>
      </w:r>
      <w:r w:rsidRPr="004A4C4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bg-BG"/>
        </w:rPr>
        <w:t xml:space="preserve"> да окаже значително отрицателно въздействие върху природни местообитания, популации и местообитания на видове, предмет на опазване в защитените зони от мрежата Натура 2000</w:t>
      </w:r>
    </w:p>
    <w:p w:rsidR="004D71B3" w:rsidRPr="004D71B3" w:rsidRDefault="004D71B3" w:rsidP="004D71B3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</w:pPr>
      <w:r w:rsidRPr="004D71B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Във връзка с внесеното искане за преценяване на необходимостта от извършване на ЕО, заведено с вх. № ЕО-22/17.10.2023 г. на МОСВ, информираме, че след провеждане на необходимите консултации, компетентният орган по околна среда ще се произнесе с решение по реда на глава шеста, раздел II (EO) на ЗООС и ЗБР.</w:t>
      </w:r>
    </w:p>
    <w:p w:rsidR="004D71B3" w:rsidRDefault="004D71B3" w:rsidP="004D71B3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</w:pPr>
    </w:p>
    <w:p w:rsidR="004D71B3" w:rsidRDefault="004D71B3" w:rsidP="004D71B3">
      <w:pPr>
        <w:spacing w:after="0" w:line="270" w:lineRule="atLeast"/>
        <w:ind w:left="2832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4D71B3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bg-BG"/>
        </w:rPr>
        <w:t>/отговорено от МОСВ на 01.11.2023 г./</w:t>
      </w:r>
    </w:p>
    <w:p w:rsidR="004D71B3" w:rsidRDefault="004D71B3" w:rsidP="004D71B3">
      <w:pPr>
        <w:rPr>
          <w:rFonts w:ascii="Times New Roman" w:eastAsia="Times New Roman" w:hAnsi="Times New Roman" w:cs="Times New Roman"/>
          <w:lang w:eastAsia="bg-BG"/>
        </w:rPr>
      </w:pPr>
    </w:p>
    <w:p w:rsidR="002D5FE8" w:rsidRPr="004D71B3" w:rsidRDefault="004D71B3" w:rsidP="004D71B3">
      <w:pPr>
        <w:tabs>
          <w:tab w:val="left" w:pos="5100"/>
        </w:tabs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ab/>
      </w:r>
      <w:bookmarkStart w:id="0" w:name="_GoBack"/>
      <w:bookmarkEnd w:id="0"/>
    </w:p>
    <w:sectPr w:rsidR="002D5FE8" w:rsidRPr="004D71B3" w:rsidSect="00D97B7D">
      <w:footerReference w:type="first" r:id="rId8"/>
      <w:pgSz w:w="11906" w:h="16838"/>
      <w:pgMar w:top="1135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06F" w:rsidRDefault="00A5606F" w:rsidP="00344A2F">
      <w:pPr>
        <w:spacing w:after="0" w:line="240" w:lineRule="auto"/>
      </w:pPr>
      <w:r>
        <w:separator/>
      </w:r>
    </w:p>
  </w:endnote>
  <w:endnote w:type="continuationSeparator" w:id="0">
    <w:p w:rsidR="00A5606F" w:rsidRDefault="00A5606F" w:rsidP="0034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7" w:type="dxa"/>
      <w:tblLook w:val="04A0" w:firstRow="1" w:lastRow="0" w:firstColumn="1" w:lastColumn="0" w:noHBand="0" w:noVBand="1"/>
    </w:tblPr>
    <w:tblGrid>
      <w:gridCol w:w="2356"/>
      <w:gridCol w:w="5290"/>
      <w:gridCol w:w="2001"/>
    </w:tblGrid>
    <w:tr w:rsidR="00CE7BE4" w:rsidRPr="00492363" w:rsidTr="004D71B3">
      <w:trPr>
        <w:trHeight w:val="1013"/>
      </w:trPr>
      <w:tc>
        <w:tcPr>
          <w:tcW w:w="2356" w:type="dxa"/>
          <w:hideMark/>
        </w:tcPr>
        <w:p w:rsidR="00CE7BE4" w:rsidRPr="00492363" w:rsidRDefault="00CE7BE4" w:rsidP="002E079E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</w:p>
      </w:tc>
      <w:tc>
        <w:tcPr>
          <w:tcW w:w="5290" w:type="dxa"/>
        </w:tcPr>
        <w:p w:rsidR="00CE7BE4" w:rsidRPr="00492363" w:rsidRDefault="00CE7BE4" w:rsidP="002E079E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eastAsia="Calibri" w:cs="Times New Roman"/>
            </w:rPr>
          </w:pPr>
        </w:p>
      </w:tc>
      <w:tc>
        <w:tcPr>
          <w:tcW w:w="2001" w:type="dxa"/>
        </w:tcPr>
        <w:p w:rsidR="00CE7BE4" w:rsidRPr="00492363" w:rsidRDefault="00CE7BE4" w:rsidP="002E079E">
          <w:pPr>
            <w:tabs>
              <w:tab w:val="center" w:pos="4703"/>
              <w:tab w:val="right" w:pos="9406"/>
            </w:tabs>
            <w:spacing w:after="0"/>
            <w:jc w:val="center"/>
            <w:rPr>
              <w:rFonts w:ascii="Calibri" w:eastAsia="Calibri" w:hAnsi="Calibri" w:cs="Times New Roman"/>
              <w:lang w:val="en-US"/>
            </w:rPr>
          </w:pPr>
        </w:p>
      </w:tc>
    </w:tr>
  </w:tbl>
  <w:p w:rsidR="00CE7BE4" w:rsidRDefault="00CE7BE4" w:rsidP="009A3CC2">
    <w:pPr>
      <w:pStyle w:val="Footer"/>
      <w:tabs>
        <w:tab w:val="clear" w:pos="4536"/>
        <w:tab w:val="clear" w:pos="9072"/>
        <w:tab w:val="left" w:pos="27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06F" w:rsidRDefault="00A5606F" w:rsidP="00344A2F">
      <w:pPr>
        <w:spacing w:after="0" w:line="240" w:lineRule="auto"/>
      </w:pPr>
      <w:r>
        <w:separator/>
      </w:r>
    </w:p>
  </w:footnote>
  <w:footnote w:type="continuationSeparator" w:id="0">
    <w:p w:rsidR="00A5606F" w:rsidRDefault="00A5606F" w:rsidP="00344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0171"/>
    <w:multiLevelType w:val="hybridMultilevel"/>
    <w:tmpl w:val="28165FEE"/>
    <w:lvl w:ilvl="0" w:tplc="50B4606A">
      <w:start w:val="1"/>
      <w:numFmt w:val="decimal"/>
      <w:lvlText w:val="%1."/>
      <w:lvlJc w:val="left"/>
      <w:pPr>
        <w:ind w:left="4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950" w:hanging="360"/>
      </w:pPr>
    </w:lvl>
    <w:lvl w:ilvl="2" w:tplc="0809001B" w:tentative="1">
      <w:start w:val="1"/>
      <w:numFmt w:val="lowerRoman"/>
      <w:lvlText w:val="%3."/>
      <w:lvlJc w:val="right"/>
      <w:pPr>
        <w:ind w:left="5670" w:hanging="180"/>
      </w:pPr>
    </w:lvl>
    <w:lvl w:ilvl="3" w:tplc="0809000F" w:tentative="1">
      <w:start w:val="1"/>
      <w:numFmt w:val="decimal"/>
      <w:lvlText w:val="%4."/>
      <w:lvlJc w:val="left"/>
      <w:pPr>
        <w:ind w:left="6390" w:hanging="360"/>
      </w:pPr>
    </w:lvl>
    <w:lvl w:ilvl="4" w:tplc="08090019" w:tentative="1">
      <w:start w:val="1"/>
      <w:numFmt w:val="lowerLetter"/>
      <w:lvlText w:val="%5."/>
      <w:lvlJc w:val="left"/>
      <w:pPr>
        <w:ind w:left="7110" w:hanging="360"/>
      </w:pPr>
    </w:lvl>
    <w:lvl w:ilvl="5" w:tplc="0809001B" w:tentative="1">
      <w:start w:val="1"/>
      <w:numFmt w:val="lowerRoman"/>
      <w:lvlText w:val="%6."/>
      <w:lvlJc w:val="right"/>
      <w:pPr>
        <w:ind w:left="7830" w:hanging="180"/>
      </w:pPr>
    </w:lvl>
    <w:lvl w:ilvl="6" w:tplc="0809000F" w:tentative="1">
      <w:start w:val="1"/>
      <w:numFmt w:val="decimal"/>
      <w:lvlText w:val="%7."/>
      <w:lvlJc w:val="left"/>
      <w:pPr>
        <w:ind w:left="8550" w:hanging="360"/>
      </w:pPr>
    </w:lvl>
    <w:lvl w:ilvl="7" w:tplc="08090019" w:tentative="1">
      <w:start w:val="1"/>
      <w:numFmt w:val="lowerLetter"/>
      <w:lvlText w:val="%8."/>
      <w:lvlJc w:val="left"/>
      <w:pPr>
        <w:ind w:left="9270" w:hanging="360"/>
      </w:pPr>
    </w:lvl>
    <w:lvl w:ilvl="8" w:tplc="08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100B3AE7"/>
    <w:multiLevelType w:val="hybridMultilevel"/>
    <w:tmpl w:val="251892D6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F241E0"/>
    <w:multiLevelType w:val="hybridMultilevel"/>
    <w:tmpl w:val="D4F2F8F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CF688D"/>
    <w:multiLevelType w:val="hybridMultilevel"/>
    <w:tmpl w:val="6B646B3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815B64"/>
    <w:multiLevelType w:val="hybridMultilevel"/>
    <w:tmpl w:val="112E6F26"/>
    <w:lvl w:ilvl="0" w:tplc="288A9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7F230C"/>
    <w:multiLevelType w:val="hybridMultilevel"/>
    <w:tmpl w:val="E7E4D3B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9A8F542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9B92A6A"/>
    <w:multiLevelType w:val="multilevel"/>
    <w:tmpl w:val="30721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C6654BA"/>
    <w:multiLevelType w:val="hybridMultilevel"/>
    <w:tmpl w:val="03D2D070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7F3C7A"/>
    <w:multiLevelType w:val="hybridMultilevel"/>
    <w:tmpl w:val="8C4470EA"/>
    <w:lvl w:ilvl="0" w:tplc="0402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BC71E40"/>
    <w:multiLevelType w:val="hybridMultilevel"/>
    <w:tmpl w:val="60C83FD4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F51645"/>
    <w:multiLevelType w:val="hybridMultilevel"/>
    <w:tmpl w:val="07549AAE"/>
    <w:lvl w:ilvl="0" w:tplc="0402000F">
      <w:start w:val="1"/>
      <w:numFmt w:val="decimal"/>
      <w:lvlText w:val="%1."/>
      <w:lvlJc w:val="left"/>
      <w:pPr>
        <w:ind w:left="1427" w:hanging="360"/>
      </w:pPr>
    </w:lvl>
    <w:lvl w:ilvl="1" w:tplc="04020019" w:tentative="1">
      <w:start w:val="1"/>
      <w:numFmt w:val="lowerLetter"/>
      <w:lvlText w:val="%2."/>
      <w:lvlJc w:val="left"/>
      <w:pPr>
        <w:ind w:left="2147" w:hanging="360"/>
      </w:pPr>
    </w:lvl>
    <w:lvl w:ilvl="2" w:tplc="0402001B" w:tentative="1">
      <w:start w:val="1"/>
      <w:numFmt w:val="lowerRoman"/>
      <w:lvlText w:val="%3."/>
      <w:lvlJc w:val="right"/>
      <w:pPr>
        <w:ind w:left="2867" w:hanging="180"/>
      </w:pPr>
    </w:lvl>
    <w:lvl w:ilvl="3" w:tplc="0402000F" w:tentative="1">
      <w:start w:val="1"/>
      <w:numFmt w:val="decimal"/>
      <w:lvlText w:val="%4."/>
      <w:lvlJc w:val="left"/>
      <w:pPr>
        <w:ind w:left="3587" w:hanging="360"/>
      </w:pPr>
    </w:lvl>
    <w:lvl w:ilvl="4" w:tplc="04020019" w:tentative="1">
      <w:start w:val="1"/>
      <w:numFmt w:val="lowerLetter"/>
      <w:lvlText w:val="%5."/>
      <w:lvlJc w:val="left"/>
      <w:pPr>
        <w:ind w:left="4307" w:hanging="360"/>
      </w:pPr>
    </w:lvl>
    <w:lvl w:ilvl="5" w:tplc="0402001B" w:tentative="1">
      <w:start w:val="1"/>
      <w:numFmt w:val="lowerRoman"/>
      <w:lvlText w:val="%6."/>
      <w:lvlJc w:val="right"/>
      <w:pPr>
        <w:ind w:left="5027" w:hanging="180"/>
      </w:pPr>
    </w:lvl>
    <w:lvl w:ilvl="6" w:tplc="0402000F" w:tentative="1">
      <w:start w:val="1"/>
      <w:numFmt w:val="decimal"/>
      <w:lvlText w:val="%7."/>
      <w:lvlJc w:val="left"/>
      <w:pPr>
        <w:ind w:left="5747" w:hanging="360"/>
      </w:pPr>
    </w:lvl>
    <w:lvl w:ilvl="7" w:tplc="04020019" w:tentative="1">
      <w:start w:val="1"/>
      <w:numFmt w:val="lowerLetter"/>
      <w:lvlText w:val="%8."/>
      <w:lvlJc w:val="left"/>
      <w:pPr>
        <w:ind w:left="6467" w:hanging="360"/>
      </w:pPr>
    </w:lvl>
    <w:lvl w:ilvl="8" w:tplc="040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1" w15:restartNumberingAfterBreak="0">
    <w:nsid w:val="5E4137DC"/>
    <w:multiLevelType w:val="hybridMultilevel"/>
    <w:tmpl w:val="5776A65E"/>
    <w:lvl w:ilvl="0" w:tplc="0402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3656EA1"/>
    <w:multiLevelType w:val="hybridMultilevel"/>
    <w:tmpl w:val="16CCFB18"/>
    <w:lvl w:ilvl="0" w:tplc="040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3853B6F"/>
    <w:multiLevelType w:val="hybridMultilevel"/>
    <w:tmpl w:val="947A71EA"/>
    <w:lvl w:ilvl="0" w:tplc="040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E7C6BF5"/>
    <w:multiLevelType w:val="hybridMultilevel"/>
    <w:tmpl w:val="BA90999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5268A4"/>
    <w:multiLevelType w:val="hybridMultilevel"/>
    <w:tmpl w:val="2ECC93A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4B52667"/>
    <w:multiLevelType w:val="hybridMultilevel"/>
    <w:tmpl w:val="78E6AF80"/>
    <w:lvl w:ilvl="0" w:tplc="AA4EFC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4"/>
  </w:num>
  <w:num w:numId="10">
    <w:abstractNumId w:val="6"/>
  </w:num>
  <w:num w:numId="11">
    <w:abstractNumId w:val="1"/>
  </w:num>
  <w:num w:numId="12">
    <w:abstractNumId w:val="13"/>
  </w:num>
  <w:num w:numId="13">
    <w:abstractNumId w:val="8"/>
  </w:num>
  <w:num w:numId="14">
    <w:abstractNumId w:val="2"/>
  </w:num>
  <w:num w:numId="15">
    <w:abstractNumId w:val="15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2F"/>
    <w:rsid w:val="00030365"/>
    <w:rsid w:val="00030B2E"/>
    <w:rsid w:val="0004047F"/>
    <w:rsid w:val="00062790"/>
    <w:rsid w:val="00066747"/>
    <w:rsid w:val="00067492"/>
    <w:rsid w:val="000A0A47"/>
    <w:rsid w:val="000A5676"/>
    <w:rsid w:val="000D5F21"/>
    <w:rsid w:val="000E0EFD"/>
    <w:rsid w:val="000E265F"/>
    <w:rsid w:val="000F22D7"/>
    <w:rsid w:val="000F59BA"/>
    <w:rsid w:val="00101BD7"/>
    <w:rsid w:val="001070DF"/>
    <w:rsid w:val="001241A7"/>
    <w:rsid w:val="0012653D"/>
    <w:rsid w:val="0014712E"/>
    <w:rsid w:val="00147F4C"/>
    <w:rsid w:val="00152C70"/>
    <w:rsid w:val="00165323"/>
    <w:rsid w:val="00190266"/>
    <w:rsid w:val="001914FB"/>
    <w:rsid w:val="001968B3"/>
    <w:rsid w:val="001A1FEC"/>
    <w:rsid w:val="001A3998"/>
    <w:rsid w:val="001B1B37"/>
    <w:rsid w:val="001B558C"/>
    <w:rsid w:val="001C38AB"/>
    <w:rsid w:val="001F6606"/>
    <w:rsid w:val="00201B4F"/>
    <w:rsid w:val="002048A3"/>
    <w:rsid w:val="0020682E"/>
    <w:rsid w:val="00231582"/>
    <w:rsid w:val="002434FC"/>
    <w:rsid w:val="00253896"/>
    <w:rsid w:val="002624D9"/>
    <w:rsid w:val="00264C53"/>
    <w:rsid w:val="00267FF4"/>
    <w:rsid w:val="00270FE6"/>
    <w:rsid w:val="00285FA5"/>
    <w:rsid w:val="002925CF"/>
    <w:rsid w:val="00293430"/>
    <w:rsid w:val="002936F0"/>
    <w:rsid w:val="00295908"/>
    <w:rsid w:val="002A143D"/>
    <w:rsid w:val="002A617B"/>
    <w:rsid w:val="002B0A56"/>
    <w:rsid w:val="002B4899"/>
    <w:rsid w:val="002B7C56"/>
    <w:rsid w:val="002C16C4"/>
    <w:rsid w:val="002C2B41"/>
    <w:rsid w:val="002C378F"/>
    <w:rsid w:val="002C61F6"/>
    <w:rsid w:val="002D0B99"/>
    <w:rsid w:val="002D498D"/>
    <w:rsid w:val="002D5FE8"/>
    <w:rsid w:val="002E079E"/>
    <w:rsid w:val="002E13E3"/>
    <w:rsid w:val="00301D66"/>
    <w:rsid w:val="00304E51"/>
    <w:rsid w:val="00305AB7"/>
    <w:rsid w:val="00321474"/>
    <w:rsid w:val="00322167"/>
    <w:rsid w:val="00322BEB"/>
    <w:rsid w:val="0032743B"/>
    <w:rsid w:val="00341226"/>
    <w:rsid w:val="00344A2F"/>
    <w:rsid w:val="003805EE"/>
    <w:rsid w:val="003851E3"/>
    <w:rsid w:val="00396E11"/>
    <w:rsid w:val="003A025A"/>
    <w:rsid w:val="003B20FF"/>
    <w:rsid w:val="003B2327"/>
    <w:rsid w:val="003C7388"/>
    <w:rsid w:val="003D47EE"/>
    <w:rsid w:val="003E4848"/>
    <w:rsid w:val="00405D2A"/>
    <w:rsid w:val="00413FA4"/>
    <w:rsid w:val="004310D6"/>
    <w:rsid w:val="00440579"/>
    <w:rsid w:val="00447148"/>
    <w:rsid w:val="00450081"/>
    <w:rsid w:val="00450E7F"/>
    <w:rsid w:val="00460619"/>
    <w:rsid w:val="00464ADD"/>
    <w:rsid w:val="00465789"/>
    <w:rsid w:val="00474812"/>
    <w:rsid w:val="00492363"/>
    <w:rsid w:val="004A4C4D"/>
    <w:rsid w:val="004C343E"/>
    <w:rsid w:val="004C791D"/>
    <w:rsid w:val="004D2676"/>
    <w:rsid w:val="004D71B3"/>
    <w:rsid w:val="004E3F40"/>
    <w:rsid w:val="004F4029"/>
    <w:rsid w:val="00514C73"/>
    <w:rsid w:val="00521A89"/>
    <w:rsid w:val="005279BB"/>
    <w:rsid w:val="00527B4E"/>
    <w:rsid w:val="00532411"/>
    <w:rsid w:val="00541ECA"/>
    <w:rsid w:val="00546D64"/>
    <w:rsid w:val="00551FA6"/>
    <w:rsid w:val="0055406A"/>
    <w:rsid w:val="00562EE8"/>
    <w:rsid w:val="005745E4"/>
    <w:rsid w:val="0057473D"/>
    <w:rsid w:val="00581697"/>
    <w:rsid w:val="00587D43"/>
    <w:rsid w:val="00595596"/>
    <w:rsid w:val="005A1DBC"/>
    <w:rsid w:val="005B7A1B"/>
    <w:rsid w:val="005C1583"/>
    <w:rsid w:val="005D2532"/>
    <w:rsid w:val="005F25C6"/>
    <w:rsid w:val="0060574E"/>
    <w:rsid w:val="00606175"/>
    <w:rsid w:val="00625F0B"/>
    <w:rsid w:val="00640DA4"/>
    <w:rsid w:val="00682109"/>
    <w:rsid w:val="00685536"/>
    <w:rsid w:val="00686F4E"/>
    <w:rsid w:val="00694675"/>
    <w:rsid w:val="006A097F"/>
    <w:rsid w:val="006A1E33"/>
    <w:rsid w:val="006A29D4"/>
    <w:rsid w:val="006A2F24"/>
    <w:rsid w:val="006B3F5C"/>
    <w:rsid w:val="006C08A3"/>
    <w:rsid w:val="006C51DA"/>
    <w:rsid w:val="006C52B5"/>
    <w:rsid w:val="006D52DD"/>
    <w:rsid w:val="006E7C91"/>
    <w:rsid w:val="006F7F11"/>
    <w:rsid w:val="00704414"/>
    <w:rsid w:val="0070516B"/>
    <w:rsid w:val="00705324"/>
    <w:rsid w:val="007057F4"/>
    <w:rsid w:val="00710879"/>
    <w:rsid w:val="0071135F"/>
    <w:rsid w:val="0071510D"/>
    <w:rsid w:val="00717DB8"/>
    <w:rsid w:val="007337CC"/>
    <w:rsid w:val="007350B4"/>
    <w:rsid w:val="007367E8"/>
    <w:rsid w:val="0074373A"/>
    <w:rsid w:val="007606F4"/>
    <w:rsid w:val="007A54F1"/>
    <w:rsid w:val="007B10F4"/>
    <w:rsid w:val="007B1CD3"/>
    <w:rsid w:val="007C2A71"/>
    <w:rsid w:val="007C78A9"/>
    <w:rsid w:val="007D0AFD"/>
    <w:rsid w:val="007F76E7"/>
    <w:rsid w:val="00803B1E"/>
    <w:rsid w:val="00807B5E"/>
    <w:rsid w:val="008139EA"/>
    <w:rsid w:val="008263D2"/>
    <w:rsid w:val="00831C78"/>
    <w:rsid w:val="0084410C"/>
    <w:rsid w:val="00850364"/>
    <w:rsid w:val="008703ED"/>
    <w:rsid w:val="00871616"/>
    <w:rsid w:val="00871DAF"/>
    <w:rsid w:val="00873AB0"/>
    <w:rsid w:val="008772DA"/>
    <w:rsid w:val="008814DD"/>
    <w:rsid w:val="00883AD8"/>
    <w:rsid w:val="00897458"/>
    <w:rsid w:val="008A12BA"/>
    <w:rsid w:val="008A5684"/>
    <w:rsid w:val="008B3699"/>
    <w:rsid w:val="008B75BE"/>
    <w:rsid w:val="008C2398"/>
    <w:rsid w:val="008C491F"/>
    <w:rsid w:val="008D44A8"/>
    <w:rsid w:val="008F5404"/>
    <w:rsid w:val="00901D9B"/>
    <w:rsid w:val="009144BD"/>
    <w:rsid w:val="009248C4"/>
    <w:rsid w:val="00932338"/>
    <w:rsid w:val="0093264C"/>
    <w:rsid w:val="00951DB3"/>
    <w:rsid w:val="00953BBF"/>
    <w:rsid w:val="00964CD1"/>
    <w:rsid w:val="009729F2"/>
    <w:rsid w:val="009746D2"/>
    <w:rsid w:val="009766DE"/>
    <w:rsid w:val="009A3CC2"/>
    <w:rsid w:val="009A7C5D"/>
    <w:rsid w:val="009B1ABD"/>
    <w:rsid w:val="009B2729"/>
    <w:rsid w:val="009C3DDC"/>
    <w:rsid w:val="009D0392"/>
    <w:rsid w:val="009D4991"/>
    <w:rsid w:val="009E2940"/>
    <w:rsid w:val="009E3718"/>
    <w:rsid w:val="009E55EA"/>
    <w:rsid w:val="00A325EE"/>
    <w:rsid w:val="00A50983"/>
    <w:rsid w:val="00A50BEF"/>
    <w:rsid w:val="00A5606F"/>
    <w:rsid w:val="00A656EA"/>
    <w:rsid w:val="00A75385"/>
    <w:rsid w:val="00A83C5A"/>
    <w:rsid w:val="00A96A8F"/>
    <w:rsid w:val="00AA25CF"/>
    <w:rsid w:val="00AB1C0D"/>
    <w:rsid w:val="00AB77F4"/>
    <w:rsid w:val="00AD3865"/>
    <w:rsid w:val="00B25638"/>
    <w:rsid w:val="00B40089"/>
    <w:rsid w:val="00B43B0E"/>
    <w:rsid w:val="00B535EC"/>
    <w:rsid w:val="00B615BF"/>
    <w:rsid w:val="00B61D12"/>
    <w:rsid w:val="00B6681F"/>
    <w:rsid w:val="00B93125"/>
    <w:rsid w:val="00BA00E8"/>
    <w:rsid w:val="00BA69A2"/>
    <w:rsid w:val="00BB1F12"/>
    <w:rsid w:val="00BC79D7"/>
    <w:rsid w:val="00BD1CDD"/>
    <w:rsid w:val="00BD2C20"/>
    <w:rsid w:val="00BD3580"/>
    <w:rsid w:val="00BD4166"/>
    <w:rsid w:val="00BD6683"/>
    <w:rsid w:val="00BD7727"/>
    <w:rsid w:val="00C15E4B"/>
    <w:rsid w:val="00C20C6B"/>
    <w:rsid w:val="00C223B1"/>
    <w:rsid w:val="00C316B3"/>
    <w:rsid w:val="00C43733"/>
    <w:rsid w:val="00C53663"/>
    <w:rsid w:val="00C66CA3"/>
    <w:rsid w:val="00C7454E"/>
    <w:rsid w:val="00C96526"/>
    <w:rsid w:val="00C967F7"/>
    <w:rsid w:val="00C97198"/>
    <w:rsid w:val="00C97318"/>
    <w:rsid w:val="00CA3ADC"/>
    <w:rsid w:val="00CA523D"/>
    <w:rsid w:val="00CB6616"/>
    <w:rsid w:val="00CD00C0"/>
    <w:rsid w:val="00CE7BE4"/>
    <w:rsid w:val="00CF0567"/>
    <w:rsid w:val="00CF0C48"/>
    <w:rsid w:val="00CF7371"/>
    <w:rsid w:val="00D02FFF"/>
    <w:rsid w:val="00D11EB8"/>
    <w:rsid w:val="00D32393"/>
    <w:rsid w:val="00D32711"/>
    <w:rsid w:val="00D37B31"/>
    <w:rsid w:val="00D4724E"/>
    <w:rsid w:val="00D57CBF"/>
    <w:rsid w:val="00D67A8B"/>
    <w:rsid w:val="00D72869"/>
    <w:rsid w:val="00D80CA4"/>
    <w:rsid w:val="00D97A62"/>
    <w:rsid w:val="00D97B7D"/>
    <w:rsid w:val="00DA1248"/>
    <w:rsid w:val="00DA6504"/>
    <w:rsid w:val="00DE118C"/>
    <w:rsid w:val="00DE140B"/>
    <w:rsid w:val="00DE3086"/>
    <w:rsid w:val="00E00B41"/>
    <w:rsid w:val="00E06C92"/>
    <w:rsid w:val="00E132DF"/>
    <w:rsid w:val="00E21FEE"/>
    <w:rsid w:val="00E220F6"/>
    <w:rsid w:val="00E27166"/>
    <w:rsid w:val="00E31340"/>
    <w:rsid w:val="00E40B45"/>
    <w:rsid w:val="00E54B02"/>
    <w:rsid w:val="00E630F1"/>
    <w:rsid w:val="00E7500F"/>
    <w:rsid w:val="00E77B31"/>
    <w:rsid w:val="00E8022E"/>
    <w:rsid w:val="00EA0DDD"/>
    <w:rsid w:val="00EC2E07"/>
    <w:rsid w:val="00ED1399"/>
    <w:rsid w:val="00ED30F0"/>
    <w:rsid w:val="00EE19B2"/>
    <w:rsid w:val="00F00271"/>
    <w:rsid w:val="00F01446"/>
    <w:rsid w:val="00F020B1"/>
    <w:rsid w:val="00F02815"/>
    <w:rsid w:val="00F11F84"/>
    <w:rsid w:val="00F22492"/>
    <w:rsid w:val="00F2793A"/>
    <w:rsid w:val="00F430CE"/>
    <w:rsid w:val="00F52D72"/>
    <w:rsid w:val="00F65974"/>
    <w:rsid w:val="00F6599B"/>
    <w:rsid w:val="00F662D0"/>
    <w:rsid w:val="00F7374F"/>
    <w:rsid w:val="00FB3AD4"/>
    <w:rsid w:val="00FC33E6"/>
    <w:rsid w:val="00FC3D74"/>
    <w:rsid w:val="00FD28E0"/>
    <w:rsid w:val="00FD34A2"/>
    <w:rsid w:val="00FE156D"/>
    <w:rsid w:val="00FE37C5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141A2"/>
  <w15:docId w15:val="{0FD36980-EADB-4DC8-A958-A0BE27D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A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A2F"/>
  </w:style>
  <w:style w:type="paragraph" w:styleId="Footer">
    <w:name w:val="footer"/>
    <w:basedOn w:val="Normal"/>
    <w:link w:val="FooterChar"/>
    <w:uiPriority w:val="99"/>
    <w:unhideWhenUsed/>
    <w:rsid w:val="00344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A2F"/>
  </w:style>
  <w:style w:type="paragraph" w:styleId="BalloonText">
    <w:name w:val="Balloon Text"/>
    <w:basedOn w:val="Normal"/>
    <w:link w:val="BalloonTextChar"/>
    <w:uiPriority w:val="99"/>
    <w:semiHidden/>
    <w:unhideWhenUsed/>
    <w:rsid w:val="0034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2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7044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Caption">
    <w:name w:val="caption"/>
    <w:basedOn w:val="Normal"/>
    <w:next w:val="Normal"/>
    <w:qFormat/>
    <w:rsid w:val="0057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paragraph" w:styleId="BodyTextIndent">
    <w:name w:val="Body Text Indent"/>
    <w:basedOn w:val="Normal"/>
    <w:link w:val="BodyTextIndentChar"/>
    <w:rsid w:val="00C316B3"/>
    <w:pPr>
      <w:spacing w:after="0" w:line="240" w:lineRule="auto"/>
      <w:ind w:left="5760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316B3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C31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1Char0">
    <w:name w:val="Char Char1 Char"/>
    <w:basedOn w:val="Normal"/>
    <w:semiHidden/>
    <w:rsid w:val="001C38AB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character" w:customStyle="1" w:styleId="Bodytext">
    <w:name w:val="Body text_"/>
    <w:basedOn w:val="DefaultParagraphFont"/>
    <w:link w:val="BodyText1"/>
    <w:rsid w:val="00F224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Arial10ptBold">
    <w:name w:val="Body text + Arial;10 pt;Bold"/>
    <w:basedOn w:val="Bodytext"/>
    <w:rsid w:val="00F2249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/>
    </w:rPr>
  </w:style>
  <w:style w:type="character" w:customStyle="1" w:styleId="BodytextArial9pt">
    <w:name w:val="Body text + Arial;9 pt"/>
    <w:basedOn w:val="Bodytext"/>
    <w:rsid w:val="00F22492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bg-BG"/>
    </w:rPr>
  </w:style>
  <w:style w:type="character" w:customStyle="1" w:styleId="Bodytext75ptSpacing1pt">
    <w:name w:val="Body text + 7;5 pt;Spacing 1 pt"/>
    <w:basedOn w:val="Bodytext"/>
    <w:rsid w:val="00F22492"/>
    <w:rPr>
      <w:rFonts w:ascii="Times New Roman" w:eastAsia="Times New Roman" w:hAnsi="Times New Roman" w:cs="Times New Roman"/>
      <w:color w:val="000000"/>
      <w:spacing w:val="20"/>
      <w:w w:val="100"/>
      <w:position w:val="0"/>
      <w:sz w:val="15"/>
      <w:szCs w:val="15"/>
      <w:shd w:val="clear" w:color="auto" w:fill="FFFFFF"/>
      <w:lang w:val="bg-BG"/>
    </w:rPr>
  </w:style>
  <w:style w:type="character" w:customStyle="1" w:styleId="BodytextSegoeUI9pt">
    <w:name w:val="Body text + Segoe UI;9 pt"/>
    <w:basedOn w:val="Bodytext"/>
    <w:rsid w:val="00F22492"/>
    <w:rPr>
      <w:rFonts w:ascii="Segoe UI" w:eastAsia="Segoe UI" w:hAnsi="Segoe UI" w:cs="Segoe UI"/>
      <w:color w:val="000000"/>
      <w:spacing w:val="0"/>
      <w:w w:val="100"/>
      <w:position w:val="0"/>
      <w:sz w:val="18"/>
      <w:szCs w:val="18"/>
      <w:shd w:val="clear" w:color="auto" w:fill="FFFFFF"/>
      <w:lang w:val="bg-BG"/>
    </w:rPr>
  </w:style>
  <w:style w:type="paragraph" w:customStyle="1" w:styleId="BodyText1">
    <w:name w:val="Body Text1"/>
    <w:basedOn w:val="Normal"/>
    <w:link w:val="Bodytext"/>
    <w:rsid w:val="00F22492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668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4A4C4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04B5-02A2-41B3-AF46-82E86717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MToteva</dc:creator>
  <cp:keywords/>
  <dc:description/>
  <cp:lastModifiedBy>Windows User</cp:lastModifiedBy>
  <cp:revision>111</cp:revision>
  <cp:lastPrinted>2023-10-30T14:09:00Z</cp:lastPrinted>
  <dcterms:created xsi:type="dcterms:W3CDTF">2023-09-05T16:59:00Z</dcterms:created>
  <dcterms:modified xsi:type="dcterms:W3CDTF">2023-11-02T11:14:00Z</dcterms:modified>
</cp:coreProperties>
</file>